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52B98" w:rsidRPr="002D6EC9" w14:paraId="22F42E0B" w14:textId="77777777" w:rsidTr="00C057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2F9F98E5" w14:textId="77777777" w:rsidR="00352B98" w:rsidRPr="002D6EC9" w:rsidRDefault="00352B98" w:rsidP="00C0579D">
            <w:pPr>
              <w:jc w:val="center"/>
            </w:pPr>
          </w:p>
          <w:p w14:paraId="18B944E9" w14:textId="77777777" w:rsidR="00352B98" w:rsidRPr="002E7BAF" w:rsidRDefault="00352B98" w:rsidP="00C057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6956F92" w14:textId="77777777" w:rsidR="00352B98" w:rsidRDefault="00352B98" w:rsidP="00C0579D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DE5EE1B" w14:textId="77777777" w:rsidR="00352B98" w:rsidRPr="00191F94" w:rsidRDefault="00352B98" w:rsidP="00C0579D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78EC793E" w14:textId="77777777" w:rsidR="00352B98" w:rsidRPr="002D6EC9" w:rsidRDefault="00352B98" w:rsidP="00C0579D">
            <w:pPr>
              <w:jc w:val="center"/>
            </w:pPr>
          </w:p>
        </w:tc>
      </w:tr>
      <w:tr w:rsidR="00D04528" w:rsidRPr="002D6EC9" w14:paraId="78F64445" w14:textId="77777777" w:rsidTr="00C057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C9732D7" w14:textId="77777777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DAA1CB1" w14:textId="055FBF41" w:rsidR="00C843C9" w:rsidRPr="00145746" w:rsidRDefault="00C843C9" w:rsidP="00C843C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45746">
              <w:rPr>
                <w:b/>
                <w:bCs/>
                <w:color w:val="000000"/>
              </w:rPr>
              <w:t>ODLUK</w:t>
            </w:r>
            <w:r w:rsidR="00C1191F">
              <w:rPr>
                <w:b/>
                <w:bCs/>
                <w:color w:val="000000"/>
              </w:rPr>
              <w:t>A</w:t>
            </w:r>
          </w:p>
          <w:p w14:paraId="1482940B" w14:textId="77777777" w:rsidR="005D7A26" w:rsidRDefault="00987183" w:rsidP="003F041A">
            <w:pPr>
              <w:rPr>
                <w:bCs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Odluk</w:t>
            </w:r>
            <w:r w:rsidR="001C0173">
              <w:rPr>
                <w:bCs/>
                <w:lang w:val="de-DE"/>
              </w:rPr>
              <w:t>a</w:t>
            </w:r>
            <w:proofErr w:type="spellEnd"/>
            <w:r>
              <w:rPr>
                <w:bCs/>
                <w:lang w:val="de-DE"/>
              </w:rPr>
              <w:t xml:space="preserve"> o </w:t>
            </w:r>
            <w:proofErr w:type="spellStart"/>
            <w:r>
              <w:rPr>
                <w:bCs/>
                <w:lang w:val="de-DE"/>
              </w:rPr>
              <w:t>utvrđivanju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lokacija</w:t>
            </w:r>
            <w:proofErr w:type="spellEnd"/>
            <w:r>
              <w:rPr>
                <w:bCs/>
                <w:lang w:val="de-DE"/>
              </w:rPr>
              <w:t xml:space="preserve"> za </w:t>
            </w:r>
            <w:proofErr w:type="spellStart"/>
            <w:r>
              <w:rPr>
                <w:bCs/>
                <w:lang w:val="de-DE"/>
              </w:rPr>
              <w:t>kupanje</w:t>
            </w:r>
            <w:proofErr w:type="spellEnd"/>
            <w:r>
              <w:rPr>
                <w:bCs/>
                <w:lang w:val="de-DE"/>
              </w:rPr>
              <w:t xml:space="preserve"> i </w:t>
            </w:r>
            <w:proofErr w:type="spellStart"/>
            <w:r>
              <w:rPr>
                <w:bCs/>
                <w:lang w:val="de-DE"/>
              </w:rPr>
              <w:t>trajanj</w:t>
            </w:r>
            <w:r w:rsidR="0073341F">
              <w:rPr>
                <w:bCs/>
                <w:lang w:val="de-DE"/>
              </w:rPr>
              <w:t>a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sezone</w:t>
            </w:r>
            <w:proofErr w:type="spellEnd"/>
            <w:r w:rsidR="0073341F">
              <w:rPr>
                <w:bCs/>
                <w:lang w:val="de-DE"/>
              </w:rPr>
              <w:t xml:space="preserve"> za </w:t>
            </w:r>
            <w:proofErr w:type="spellStart"/>
            <w:r w:rsidR="0073341F">
              <w:rPr>
                <w:bCs/>
                <w:lang w:val="de-DE"/>
              </w:rPr>
              <w:t>kupanje</w:t>
            </w:r>
            <w:proofErr w:type="spellEnd"/>
            <w:r>
              <w:rPr>
                <w:bCs/>
                <w:lang w:val="de-DE"/>
              </w:rPr>
              <w:t xml:space="preserve"> u 202</w:t>
            </w:r>
            <w:r w:rsidR="00DD7205">
              <w:rPr>
                <w:bCs/>
                <w:lang w:val="de-DE"/>
              </w:rPr>
              <w:t>6</w:t>
            </w:r>
            <w:r>
              <w:rPr>
                <w:bCs/>
                <w:lang w:val="de-DE"/>
              </w:rPr>
              <w:t xml:space="preserve">. </w:t>
            </w:r>
          </w:p>
          <w:p w14:paraId="1F862997" w14:textId="7DD6F4EE" w:rsidR="003F041A" w:rsidRPr="00407EE1" w:rsidRDefault="003F041A" w:rsidP="003F041A">
            <w:pPr>
              <w:rPr>
                <w:b/>
                <w:i/>
              </w:rPr>
            </w:pPr>
          </w:p>
        </w:tc>
      </w:tr>
      <w:tr w:rsidR="00D04528" w:rsidRPr="002D6EC9" w14:paraId="2E5B7FDE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AA5F0AC" w14:textId="77777777"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E7C3E4" w14:textId="77777777" w:rsidR="00352B98" w:rsidRDefault="00352B98" w:rsidP="004F35AD">
            <w:pPr>
              <w:jc w:val="both"/>
              <w:rPr>
                <w:rFonts w:eastAsia="Calibri"/>
                <w:lang w:eastAsia="en-US"/>
              </w:rPr>
            </w:pPr>
          </w:p>
          <w:p w14:paraId="0452BF64" w14:textId="1B9A0C15" w:rsidR="005D7A26" w:rsidRPr="00C843C9" w:rsidRDefault="00C843C9" w:rsidP="004F35AD">
            <w:pPr>
              <w:jc w:val="both"/>
              <w:rPr>
                <w:rFonts w:eastAsia="Calibri"/>
                <w:b/>
                <w:lang w:eastAsia="en-US"/>
              </w:rPr>
            </w:pPr>
            <w:r w:rsidRPr="00C843C9">
              <w:rPr>
                <w:rFonts w:eastAsia="Calibri"/>
                <w:b/>
                <w:lang w:eastAsia="en-US"/>
              </w:rPr>
              <w:t>Gradski ured za socijalnu zaštitu, zdravstvo, branitelje i osobe s invaliditetom</w:t>
            </w:r>
          </w:p>
          <w:p w14:paraId="0D127BCE" w14:textId="77777777" w:rsidR="005D7A26" w:rsidRPr="00C843C9" w:rsidRDefault="005D7A26" w:rsidP="004F35AD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6B0EB5A6" w14:textId="7585120D" w:rsidR="005D7A26" w:rsidRPr="00861D42" w:rsidRDefault="005D7A26" w:rsidP="004F35AD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04528" w:rsidRPr="002D6EC9" w14:paraId="0A4DF8D5" w14:textId="77777777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745241F" w14:textId="77777777" w:rsidR="00352B98" w:rsidRPr="00D22C35" w:rsidRDefault="00352B98" w:rsidP="00C0579D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A971106" w14:textId="77777777" w:rsidR="005D7A26" w:rsidRDefault="005D7A26" w:rsidP="00352B98">
            <w:pPr>
              <w:autoSpaceDE w:val="0"/>
              <w:autoSpaceDN w:val="0"/>
              <w:adjustRightInd w:val="0"/>
              <w:jc w:val="both"/>
            </w:pPr>
          </w:p>
          <w:p w14:paraId="24D989B8" w14:textId="10507D9B" w:rsidR="00012C01" w:rsidRDefault="00012C01" w:rsidP="00012C0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0992">
              <w:rPr>
                <w:color w:val="000000"/>
              </w:rPr>
              <w:t>Pravni temelj za donošenje ove odluke je članak 5</w:t>
            </w:r>
            <w:r>
              <w:rPr>
                <w:color w:val="000000"/>
              </w:rPr>
              <w:t>8</w:t>
            </w:r>
            <w:r w:rsidRPr="00230992">
              <w:rPr>
                <w:color w:val="000000"/>
              </w:rPr>
              <w:t xml:space="preserve">. stavak 2. Zakona o vodama (Narodne novine </w:t>
            </w:r>
            <w:r>
              <w:rPr>
                <w:color w:val="000000"/>
              </w:rPr>
              <w:t>66/19</w:t>
            </w:r>
            <w:r w:rsidR="0073341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84/21</w:t>
            </w:r>
            <w:r w:rsidR="0073341F">
              <w:rPr>
                <w:color w:val="000000"/>
              </w:rPr>
              <w:t xml:space="preserve"> i 47/23</w:t>
            </w:r>
            <w:r w:rsidRPr="00230992">
              <w:rPr>
                <w:color w:val="000000"/>
              </w:rPr>
              <w:t>) koji propisuje da jedinica lokalne samouprave donosi odluku kojom se utvrđuju lokacije za kupanje (kupališta) i trajanje sezone za kupanje na površinskim vodama te članak 4. stavak 1. Uredbe o kakvoći voda za kupanje (Narodne novine 51/14) kojom se propisuje da jedinica lokalne samouprave prije početka svake sezone kupanja donosi odluku kojom se utvrđuju lokacije za kupanje (kupališta) na kojima se p</w:t>
            </w:r>
            <w:r w:rsidR="00C1191F">
              <w:rPr>
                <w:color w:val="000000"/>
              </w:rPr>
              <w:t xml:space="preserve">rovodi praćenje kakvoće </w:t>
            </w:r>
            <w:r w:rsidRPr="00230992">
              <w:rPr>
                <w:color w:val="000000"/>
              </w:rPr>
              <w:t xml:space="preserve">voda, utvrđuju razlozi eventualnih promjena u odnosu na prethodnu sezonu kupanja, utvrđuje trajanje sezone za kupanje na površinskim vodama za kupanje, prikazuje ocjena o kakvoći površinskih voda za kupanje za prethodnu godinu te obavlja razvrstavanje za prethodno razdoblje od </w:t>
            </w:r>
            <w:r w:rsidR="00C1191F">
              <w:rPr>
                <w:color w:val="000000"/>
              </w:rPr>
              <w:t>četiri</w:t>
            </w:r>
            <w:r w:rsidRPr="00230992">
              <w:rPr>
                <w:color w:val="000000"/>
              </w:rPr>
              <w:t xml:space="preserve"> godine, izrađuje kartografski prikaz plaža te određuje profil vode za kupanje i članak </w:t>
            </w:r>
            <w:r w:rsidR="00C1191F">
              <w:rPr>
                <w:color w:val="000000"/>
              </w:rPr>
              <w:t>41</w:t>
            </w:r>
            <w:r w:rsidRPr="00230992">
              <w:rPr>
                <w:color w:val="000000"/>
              </w:rPr>
              <w:t>. točka 2. Statuta Grada Zagreba (Službeni glasnik Grada Zagreba</w:t>
            </w:r>
            <w:r>
              <w:rPr>
                <w:color w:val="000000"/>
              </w:rPr>
              <w:t xml:space="preserve"> 23/16, 2/18, 23/18, 3/20, 3/21</w:t>
            </w:r>
            <w:r w:rsidR="0073341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11/21</w:t>
            </w:r>
            <w:r w:rsidR="0073341F">
              <w:rPr>
                <w:color w:val="000000"/>
              </w:rPr>
              <w:t>-pročišćeni tekst i 16/22</w:t>
            </w:r>
            <w:r w:rsidRPr="00230992">
              <w:rPr>
                <w:color w:val="000000"/>
              </w:rPr>
              <w:t>), koj</w:t>
            </w:r>
            <w:r w:rsidR="00C1191F">
              <w:rPr>
                <w:color w:val="000000"/>
              </w:rPr>
              <w:t>o</w:t>
            </w:r>
            <w:r w:rsidRPr="00230992">
              <w:rPr>
                <w:color w:val="000000"/>
              </w:rPr>
              <w:t>m je propisano da Gradska skupština Grada Zagreba donosi odluke i druge opće akte kojima se uređuju pitanja iz samoupravnog djelokruga Grada Zagreba.</w:t>
            </w:r>
          </w:p>
          <w:p w14:paraId="45B0F5B6" w14:textId="0E29307E" w:rsidR="005D7A26" w:rsidRPr="00C1191F" w:rsidRDefault="00012C01" w:rsidP="00352B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0992">
              <w:rPr>
                <w:color w:val="000000"/>
              </w:rPr>
              <w:t>S tim u vezi, jedinice lokalne i područne (regionalne) samouprave prate propisane standarde kakvoće vode za kupanje kojima se određuju granične vrijednosti mikrobioloških pokazatelja i druge značajke vode za kupanje, a u cilju osiguranja očuvanja zaštite ili poboljšanja kakvoće površinskih voda koje se koriste za kupanje i time pridonose očuvanju i zaštiti okoliša i ljudskog zdravlja.</w:t>
            </w:r>
          </w:p>
          <w:p w14:paraId="6A383B75" w14:textId="34C35C19" w:rsidR="005D7A26" w:rsidRPr="004E3115" w:rsidRDefault="005D7A26" w:rsidP="00352B98">
            <w:pPr>
              <w:autoSpaceDE w:val="0"/>
              <w:autoSpaceDN w:val="0"/>
              <w:adjustRightInd w:val="0"/>
              <w:jc w:val="both"/>
            </w:pPr>
          </w:p>
        </w:tc>
      </w:tr>
      <w:tr w:rsidR="00352B98" w:rsidRPr="002D6EC9" w14:paraId="4AE02D2D" w14:textId="77777777" w:rsidTr="00C057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43FF7D" w14:textId="77777777" w:rsidR="008A3F40" w:rsidRDefault="008A3F40" w:rsidP="00C0579D">
            <w:pPr>
              <w:jc w:val="center"/>
              <w:rPr>
                <w:b/>
              </w:rPr>
            </w:pPr>
          </w:p>
          <w:p w14:paraId="6C4FCA7C" w14:textId="192443B6" w:rsidR="00352B98" w:rsidRDefault="00352B98" w:rsidP="00C0579D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1F466799" w14:textId="77777777" w:rsidR="005D7A26" w:rsidRPr="00D22C35" w:rsidRDefault="005D7A26" w:rsidP="00C0579D">
            <w:pPr>
              <w:jc w:val="center"/>
              <w:rPr>
                <w:b/>
              </w:rPr>
            </w:pPr>
          </w:p>
          <w:p w14:paraId="256308A7" w14:textId="0A8288E6" w:rsidR="00352B98" w:rsidRPr="003F041A" w:rsidRDefault="00352B98" w:rsidP="008A3F40">
            <w:pPr>
              <w:jc w:val="center"/>
              <w:rPr>
                <w:b/>
                <w:iCs/>
              </w:rPr>
            </w:pPr>
            <w:r w:rsidRPr="003F041A">
              <w:rPr>
                <w:b/>
                <w:iCs/>
              </w:rPr>
              <w:t>(</w:t>
            </w:r>
            <w:r w:rsidR="008A3F40" w:rsidRPr="003F041A">
              <w:rPr>
                <w:b/>
                <w:iCs/>
              </w:rPr>
              <w:t xml:space="preserve"> </w:t>
            </w:r>
            <w:r w:rsidR="003F041A" w:rsidRPr="003F041A">
              <w:rPr>
                <w:b/>
                <w:iCs/>
              </w:rPr>
              <w:t>17. travnja 2026. – 18. svibnja 2026.</w:t>
            </w:r>
            <w:r w:rsidR="008A3F40" w:rsidRPr="003F041A">
              <w:rPr>
                <w:b/>
                <w:iCs/>
              </w:rPr>
              <w:t xml:space="preserve"> </w:t>
            </w:r>
            <w:r w:rsidRPr="003F041A">
              <w:rPr>
                <w:b/>
                <w:iCs/>
              </w:rPr>
              <w:t>)</w:t>
            </w:r>
          </w:p>
          <w:p w14:paraId="4C17DF59" w14:textId="6B01212F" w:rsidR="005D7A26" w:rsidRPr="00D22C35" w:rsidRDefault="005D7A26" w:rsidP="008A3F40">
            <w:pPr>
              <w:jc w:val="center"/>
              <w:rPr>
                <w:b/>
                <w:i/>
              </w:rPr>
            </w:pPr>
          </w:p>
        </w:tc>
      </w:tr>
      <w:tr w:rsidR="00D04528" w:rsidRPr="002D6EC9" w14:paraId="29F38B3D" w14:textId="77777777" w:rsidTr="00C057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31FB01" w14:textId="77777777" w:rsidR="00352B98" w:rsidRPr="002D6EC9" w:rsidRDefault="00352B98" w:rsidP="00C0579D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0B8914" w14:textId="77777777" w:rsidR="00352B98" w:rsidRDefault="00352B98" w:rsidP="00C0579D"/>
          <w:p w14:paraId="7406D681" w14:textId="77777777" w:rsidR="005D7A26" w:rsidRDefault="005D7A26" w:rsidP="00C0579D"/>
          <w:p w14:paraId="11834808" w14:textId="2C754E4A" w:rsidR="005D7A26" w:rsidRDefault="005D7A26" w:rsidP="00C0579D"/>
          <w:p w14:paraId="6214C7F4" w14:textId="77777777" w:rsidR="005D7A26" w:rsidRDefault="005D7A26" w:rsidP="00C0579D"/>
          <w:p w14:paraId="39771F2B" w14:textId="746F04B7" w:rsidR="005D7A26" w:rsidRPr="002D6EC9" w:rsidRDefault="005D7A26" w:rsidP="00C0579D"/>
        </w:tc>
      </w:tr>
      <w:tr w:rsidR="00D04528" w:rsidRPr="002D6EC9" w14:paraId="54ABBB56" w14:textId="77777777" w:rsidTr="00C057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317C19" w14:textId="77777777" w:rsidR="00352B98" w:rsidRPr="002D6EC9" w:rsidRDefault="00352B98" w:rsidP="00C0579D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E9893B" w14:textId="77777777" w:rsidR="00352B98" w:rsidRDefault="00352B98" w:rsidP="00C0579D"/>
          <w:p w14:paraId="671CD700" w14:textId="77777777" w:rsidR="005D7A26" w:rsidRDefault="005D7A26" w:rsidP="00C0579D"/>
          <w:p w14:paraId="04FCB946" w14:textId="77777777" w:rsidR="005D7A26" w:rsidRDefault="005D7A26" w:rsidP="00C0579D"/>
          <w:p w14:paraId="6BE62E1F" w14:textId="77777777" w:rsidR="005D7A26" w:rsidRDefault="005D7A26" w:rsidP="00C0579D"/>
          <w:p w14:paraId="2872BC3A" w14:textId="6E5C744A" w:rsidR="005D7A26" w:rsidRPr="002D6EC9" w:rsidRDefault="005D7A26" w:rsidP="00C0579D"/>
        </w:tc>
      </w:tr>
      <w:tr w:rsidR="00D04528" w:rsidRPr="002D6EC9" w14:paraId="325221D1" w14:textId="77777777" w:rsidTr="00C057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3EA9E8" w14:textId="77777777" w:rsidR="00352B98" w:rsidRPr="002D6EC9" w:rsidRDefault="00352B98" w:rsidP="00C0579D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80EA22" w14:textId="7CD035C8" w:rsidR="00352B98" w:rsidRDefault="00352B98" w:rsidP="00C0579D"/>
          <w:p w14:paraId="05125FE2" w14:textId="2CF513AE" w:rsidR="005D7A26" w:rsidRDefault="005D7A26" w:rsidP="00C0579D"/>
          <w:p w14:paraId="5100C4FD" w14:textId="77777777" w:rsidR="005D7A26" w:rsidRDefault="005D7A26" w:rsidP="00C0579D"/>
          <w:p w14:paraId="1AA2D925" w14:textId="77777777" w:rsidR="00352B98" w:rsidRDefault="00352B98" w:rsidP="00C0579D"/>
          <w:p w14:paraId="74711C28" w14:textId="77777777" w:rsidR="00352B98" w:rsidRPr="002D6EC9" w:rsidRDefault="00352B98" w:rsidP="00C0579D"/>
        </w:tc>
      </w:tr>
      <w:tr w:rsidR="00D04528" w:rsidRPr="002D6EC9" w14:paraId="6B0E7B2F" w14:textId="77777777" w:rsidTr="00C0579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A5A926" w14:textId="7C81051C" w:rsidR="00352B98" w:rsidRPr="002E7BAF" w:rsidRDefault="00352B98" w:rsidP="008A3F40">
            <w:pPr>
              <w:rPr>
                <w:i/>
              </w:rPr>
            </w:pPr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B6B0895" w14:textId="77777777" w:rsidR="005D7A26" w:rsidRDefault="005D7A26" w:rsidP="00C0579D"/>
          <w:p w14:paraId="0556B947" w14:textId="0AE9EE63" w:rsidR="005D7A26" w:rsidRPr="002D6EC9" w:rsidRDefault="005D7A26" w:rsidP="00C0579D"/>
        </w:tc>
      </w:tr>
      <w:tr w:rsidR="00D04528" w:rsidRPr="002D6EC9" w14:paraId="33F93276" w14:textId="77777777" w:rsidTr="00C0579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98A23A" w14:textId="77777777" w:rsidR="00352B98" w:rsidRPr="002D6EC9" w:rsidRDefault="00352B98" w:rsidP="00C0579D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8FDD61D" w14:textId="77777777" w:rsidR="005D7A26" w:rsidRDefault="005D7A26" w:rsidP="00C0579D"/>
          <w:p w14:paraId="5C177B4F" w14:textId="77777777" w:rsidR="005D7A26" w:rsidRDefault="005D7A26" w:rsidP="00C0579D"/>
          <w:p w14:paraId="05DCC9CB" w14:textId="77777777" w:rsidR="005D7A26" w:rsidRDefault="005D7A26" w:rsidP="00C0579D"/>
          <w:p w14:paraId="70E1FE58" w14:textId="77777777" w:rsidR="005D7A26" w:rsidRDefault="005D7A26" w:rsidP="00C0579D"/>
          <w:p w14:paraId="6B945120" w14:textId="02361C22" w:rsidR="005D7A26" w:rsidRPr="002D6EC9" w:rsidRDefault="005D7A26" w:rsidP="00C0579D"/>
        </w:tc>
      </w:tr>
      <w:tr w:rsidR="00D04528" w:rsidRPr="002D6EC9" w14:paraId="19632A71" w14:textId="77777777" w:rsidTr="00C0579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1199D4" w14:textId="77777777" w:rsidR="00352B98" w:rsidRPr="002D6EC9" w:rsidRDefault="00352B98" w:rsidP="00C0579D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26A5D1F" w14:textId="08B50E1D" w:rsidR="005D7A26" w:rsidRDefault="005D7A26" w:rsidP="00C0579D"/>
          <w:p w14:paraId="3D6B45D4" w14:textId="77777777" w:rsidR="005D7A26" w:rsidRDefault="005D7A26" w:rsidP="00C0579D"/>
          <w:p w14:paraId="1047465D" w14:textId="2583694C" w:rsidR="005D7A26" w:rsidRPr="002D6EC9" w:rsidRDefault="005D7A26" w:rsidP="00C0579D"/>
        </w:tc>
      </w:tr>
    </w:tbl>
    <w:p w14:paraId="7C8EBDEE" w14:textId="77777777" w:rsidR="005D7A26" w:rsidRDefault="005D7A26" w:rsidP="00352B98">
      <w:pPr>
        <w:jc w:val="center"/>
        <w:rPr>
          <w:b/>
        </w:rPr>
      </w:pPr>
    </w:p>
    <w:p w14:paraId="68A22E41" w14:textId="24EB344C" w:rsidR="005D7A26" w:rsidRDefault="005D7A26" w:rsidP="00C1191F">
      <w:pPr>
        <w:rPr>
          <w:b/>
        </w:rPr>
      </w:pPr>
    </w:p>
    <w:p w14:paraId="03427EB8" w14:textId="77777777" w:rsidR="005D7A26" w:rsidRDefault="005D7A26" w:rsidP="00352B98">
      <w:pPr>
        <w:jc w:val="center"/>
        <w:rPr>
          <w:b/>
        </w:rPr>
      </w:pPr>
    </w:p>
    <w:p w14:paraId="1CF484F9" w14:textId="77777777" w:rsidR="005D7A26" w:rsidRDefault="005D7A26" w:rsidP="00352B98">
      <w:pPr>
        <w:jc w:val="center"/>
        <w:rPr>
          <w:b/>
        </w:rPr>
      </w:pPr>
    </w:p>
    <w:p w14:paraId="0C5FDD90" w14:textId="29041709" w:rsidR="00352B98" w:rsidRPr="007E6F96" w:rsidRDefault="00352B98" w:rsidP="00352B98">
      <w:pPr>
        <w:jc w:val="center"/>
        <w:rPr>
          <w:b/>
        </w:rPr>
      </w:pPr>
      <w:r w:rsidRPr="007E6F96">
        <w:rPr>
          <w:b/>
        </w:rPr>
        <w:t>Važna napomena:</w:t>
      </w:r>
    </w:p>
    <w:p w14:paraId="54C38CBE" w14:textId="31A77275" w:rsidR="00A20ED2" w:rsidRDefault="00352B98" w:rsidP="00352B98">
      <w:pPr>
        <w:jc w:val="center"/>
        <w:rPr>
          <w:b/>
        </w:rPr>
      </w:pPr>
      <w:r w:rsidRPr="007E6F96">
        <w:rPr>
          <w:b/>
        </w:rPr>
        <w:t>Popunjeni obrazac dostaviti na adres</w:t>
      </w:r>
      <w:r w:rsidR="003F041A">
        <w:rPr>
          <w:b/>
        </w:rPr>
        <w:t>e</w:t>
      </w:r>
      <w:r w:rsidRPr="007E6F96">
        <w:rPr>
          <w:b/>
        </w:rPr>
        <w:t xml:space="preserve">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E73156">
        <w:rPr>
          <w:b/>
        </w:rPr>
        <w:t xml:space="preserve">: </w:t>
      </w:r>
    </w:p>
    <w:p w14:paraId="3DD5D4A1" w14:textId="10E17EED" w:rsidR="008A3F40" w:rsidRPr="003F041A" w:rsidRDefault="003F041A" w:rsidP="003F041A">
      <w:pPr>
        <w:ind w:left="1416" w:firstLine="708"/>
        <w:rPr>
          <w:b/>
          <w:color w:val="4472C4" w:themeColor="accent5"/>
          <w:u w:val="single"/>
        </w:rPr>
      </w:pPr>
      <w:hyperlink r:id="rId4" w:history="1">
        <w:r w:rsidRPr="00FA39E7">
          <w:rPr>
            <w:rStyle w:val="Hyperlink"/>
            <w:b/>
          </w:rPr>
          <w:t>uszboid@zagreb.hr</w:t>
        </w:r>
      </w:hyperlink>
      <w:r>
        <w:rPr>
          <w:b/>
        </w:rPr>
        <w:t xml:space="preserve"> i </w:t>
      </w:r>
      <w:r w:rsidR="002A4BB6" w:rsidRPr="003F041A">
        <w:rPr>
          <w:b/>
          <w:color w:val="4472C4" w:themeColor="accent5"/>
          <w:u w:val="single"/>
        </w:rPr>
        <w:t>m</w:t>
      </w:r>
      <w:r w:rsidR="00523957" w:rsidRPr="003F041A">
        <w:rPr>
          <w:b/>
          <w:color w:val="4472C4" w:themeColor="accent5"/>
          <w:u w:val="single"/>
        </w:rPr>
        <w:t>islav.sikic@zagreb.hr</w:t>
      </w:r>
    </w:p>
    <w:p w14:paraId="7B220760" w14:textId="1CA69B9E" w:rsidR="00352B98" w:rsidRPr="008526C2" w:rsidRDefault="00352B98" w:rsidP="00352B98">
      <w:pPr>
        <w:jc w:val="center"/>
        <w:rPr>
          <w:b/>
        </w:rPr>
      </w:pPr>
      <w:r w:rsidRPr="008526C2">
        <w:rPr>
          <w:b/>
        </w:rPr>
        <w:t xml:space="preserve">zaključno do </w:t>
      </w:r>
      <w:r w:rsidR="008A3F40" w:rsidRPr="003F041A">
        <w:rPr>
          <w:b/>
          <w:u w:val="single"/>
        </w:rPr>
        <w:t>_</w:t>
      </w:r>
      <w:r w:rsidR="003F041A" w:rsidRPr="003F041A">
        <w:rPr>
          <w:b/>
          <w:iCs/>
          <w:u w:val="single"/>
        </w:rPr>
        <w:t>18. svibnja 2026.</w:t>
      </w:r>
      <w:r w:rsidR="003F041A" w:rsidRPr="003F041A">
        <w:rPr>
          <w:b/>
          <w:iCs/>
        </w:rPr>
        <w:t xml:space="preserve"> </w:t>
      </w:r>
      <w:r w:rsidRPr="008526C2">
        <w:rPr>
          <w:b/>
        </w:rPr>
        <w:t xml:space="preserve"> </w:t>
      </w:r>
    </w:p>
    <w:p w14:paraId="6381F4AB" w14:textId="77777777" w:rsidR="00352B98" w:rsidRPr="007E6F96" w:rsidRDefault="00352B98" w:rsidP="00352B98">
      <w:pPr>
        <w:jc w:val="center"/>
        <w:rPr>
          <w:b/>
        </w:rPr>
      </w:pPr>
    </w:p>
    <w:p w14:paraId="0B943BA3" w14:textId="77777777" w:rsidR="00352B98" w:rsidRDefault="00352B98" w:rsidP="00352B98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bit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50C084D3" w14:textId="77777777" w:rsidR="00352B98" w:rsidRPr="007E6F96" w:rsidRDefault="00352B98" w:rsidP="00352B98">
      <w:pPr>
        <w:pStyle w:val="Default"/>
        <w:jc w:val="both"/>
        <w:rPr>
          <w:b/>
          <w:color w:val="auto"/>
        </w:rPr>
      </w:pPr>
    </w:p>
    <w:p w14:paraId="04B47DBB" w14:textId="77777777" w:rsidR="00352B98" w:rsidRPr="007E6F96" w:rsidRDefault="00352B98" w:rsidP="00352B98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4811B4" w14:textId="77777777" w:rsidR="00352B98" w:rsidRDefault="00352B98" w:rsidP="00352B98">
      <w:pPr>
        <w:rPr>
          <w:sz w:val="22"/>
          <w:szCs w:val="22"/>
        </w:rPr>
      </w:pPr>
    </w:p>
    <w:p w14:paraId="36DBE4A8" w14:textId="77777777" w:rsidR="0092281A" w:rsidRDefault="0092281A"/>
    <w:sectPr w:rsidR="0092281A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98"/>
    <w:rsid w:val="00012C01"/>
    <w:rsid w:val="000B72F1"/>
    <w:rsid w:val="000C10C6"/>
    <w:rsid w:val="000C3E5D"/>
    <w:rsid w:val="00112A89"/>
    <w:rsid w:val="001C0173"/>
    <w:rsid w:val="001E7282"/>
    <w:rsid w:val="002A4BB6"/>
    <w:rsid w:val="00352B98"/>
    <w:rsid w:val="003D1CC3"/>
    <w:rsid w:val="003E0319"/>
    <w:rsid w:val="003F041A"/>
    <w:rsid w:val="00474616"/>
    <w:rsid w:val="00484D14"/>
    <w:rsid w:val="004E3115"/>
    <w:rsid w:val="004F35AD"/>
    <w:rsid w:val="005222D0"/>
    <w:rsid w:val="00523957"/>
    <w:rsid w:val="00537B97"/>
    <w:rsid w:val="005609C6"/>
    <w:rsid w:val="005D7A26"/>
    <w:rsid w:val="00600AAC"/>
    <w:rsid w:val="00617DB5"/>
    <w:rsid w:val="00676AF0"/>
    <w:rsid w:val="006951CE"/>
    <w:rsid w:val="0073175C"/>
    <w:rsid w:val="0073341F"/>
    <w:rsid w:val="00771F1D"/>
    <w:rsid w:val="00774129"/>
    <w:rsid w:val="00774567"/>
    <w:rsid w:val="007E4B5F"/>
    <w:rsid w:val="00817BE8"/>
    <w:rsid w:val="008353BD"/>
    <w:rsid w:val="008526C2"/>
    <w:rsid w:val="008A3F40"/>
    <w:rsid w:val="0092281A"/>
    <w:rsid w:val="009818CA"/>
    <w:rsid w:val="00987183"/>
    <w:rsid w:val="009F515A"/>
    <w:rsid w:val="00A20ED2"/>
    <w:rsid w:val="00A756F2"/>
    <w:rsid w:val="00B05B93"/>
    <w:rsid w:val="00C0181E"/>
    <w:rsid w:val="00C1191F"/>
    <w:rsid w:val="00C50B78"/>
    <w:rsid w:val="00C843C9"/>
    <w:rsid w:val="00CA4910"/>
    <w:rsid w:val="00CC7BEF"/>
    <w:rsid w:val="00D04528"/>
    <w:rsid w:val="00D2445E"/>
    <w:rsid w:val="00DD7205"/>
    <w:rsid w:val="00E70F30"/>
    <w:rsid w:val="00E8293F"/>
    <w:rsid w:val="00E91AFB"/>
    <w:rsid w:val="00ED19C1"/>
    <w:rsid w:val="00F04F0C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270"/>
  <w15:chartTrackingRefBased/>
  <w15:docId w15:val="{C001622D-8368-45E3-BF72-EBC73B4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52B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52B98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181E"/>
    <w:pPr>
      <w:suppressAutoHyphens/>
      <w:autoSpaceDN w:val="0"/>
      <w:spacing w:before="100" w:after="100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84D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zboid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Tihana Zadro</cp:lastModifiedBy>
  <cp:revision>3</cp:revision>
  <cp:lastPrinted>2023-08-24T11:01:00Z</cp:lastPrinted>
  <dcterms:created xsi:type="dcterms:W3CDTF">2026-03-26T09:42:00Z</dcterms:created>
  <dcterms:modified xsi:type="dcterms:W3CDTF">2026-04-16T08:44:00Z</dcterms:modified>
</cp:coreProperties>
</file>